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B325C" w14:textId="77777777" w:rsidR="00271A4C" w:rsidRDefault="00271A4C">
      <w:pPr>
        <w:pStyle w:val="BodyText"/>
        <w:spacing w:before="5"/>
        <w:rPr>
          <w:sz w:val="5"/>
        </w:rPr>
      </w:pPr>
    </w:p>
    <w:p w14:paraId="59DB325D" w14:textId="77777777" w:rsidR="00271A4C" w:rsidRDefault="005E42A2">
      <w:pPr>
        <w:pStyle w:val="BodyText"/>
        <w:ind w:left="1605"/>
        <w:rPr>
          <w:sz w:val="20"/>
        </w:rPr>
      </w:pPr>
      <w:r>
        <w:rPr>
          <w:noProof/>
          <w:sz w:val="20"/>
        </w:rPr>
        <mc:AlternateContent>
          <mc:Choice Requires="wps">
            <w:drawing>
              <wp:inline distT="0" distB="0" distL="0" distR="0" wp14:anchorId="59DB327E" wp14:editId="59DB327F">
                <wp:extent cx="5734050" cy="304800"/>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304800"/>
                        </a:xfrm>
                        <a:prstGeom prst="rect">
                          <a:avLst/>
                        </a:prstGeom>
                        <a:solidFill>
                          <a:srgbClr val="2E75B6"/>
                        </a:solidFill>
                        <a:ln w="12700">
                          <a:solidFill>
                            <a:srgbClr val="2E75B6"/>
                          </a:solidFill>
                          <a:prstDash val="solid"/>
                        </a:ln>
                      </wps:spPr>
                      <wps:txbx>
                        <w:txbxContent>
                          <w:p w14:paraId="59DB3284" w14:textId="77777777" w:rsidR="00271A4C" w:rsidRDefault="005E42A2">
                            <w:pPr>
                              <w:spacing w:before="73"/>
                              <w:ind w:left="144"/>
                              <w:rPr>
                                <w:rFonts w:ascii="Book Antiqua"/>
                                <w:color w:val="000000"/>
                                <w:sz w:val="28"/>
                              </w:rPr>
                            </w:pPr>
                            <w:r>
                              <w:rPr>
                                <w:rFonts w:ascii="Book Antiqua"/>
                                <w:color w:val="FFFFFF"/>
                                <w:spacing w:val="12"/>
                                <w:sz w:val="28"/>
                              </w:rPr>
                              <w:t>SAN</w:t>
                            </w:r>
                            <w:r>
                              <w:rPr>
                                <w:rFonts w:ascii="Book Antiqua"/>
                                <w:color w:val="FFFFFF"/>
                                <w:spacing w:val="40"/>
                                <w:sz w:val="28"/>
                              </w:rPr>
                              <w:t xml:space="preserve"> </w:t>
                            </w:r>
                            <w:r>
                              <w:rPr>
                                <w:rFonts w:ascii="Book Antiqua"/>
                                <w:color w:val="FFFFFF"/>
                                <w:spacing w:val="16"/>
                                <w:sz w:val="28"/>
                              </w:rPr>
                              <w:t>JOAQUIN</w:t>
                            </w:r>
                            <w:r>
                              <w:rPr>
                                <w:rFonts w:ascii="Book Antiqua"/>
                                <w:color w:val="FFFFFF"/>
                                <w:spacing w:val="40"/>
                                <w:sz w:val="28"/>
                              </w:rPr>
                              <w:t xml:space="preserve"> </w:t>
                            </w:r>
                            <w:r>
                              <w:rPr>
                                <w:rFonts w:ascii="Book Antiqua"/>
                                <w:color w:val="FFFFFF"/>
                                <w:spacing w:val="16"/>
                                <w:sz w:val="28"/>
                              </w:rPr>
                              <w:t>COUNCIL</w:t>
                            </w:r>
                            <w:r>
                              <w:rPr>
                                <w:rFonts w:ascii="Book Antiqua"/>
                                <w:color w:val="FFFFFF"/>
                                <w:spacing w:val="40"/>
                                <w:sz w:val="28"/>
                              </w:rPr>
                              <w:t xml:space="preserve"> </w:t>
                            </w:r>
                            <w:r>
                              <w:rPr>
                                <w:rFonts w:ascii="Book Antiqua"/>
                                <w:color w:val="FFFFFF"/>
                                <w:spacing w:val="10"/>
                                <w:sz w:val="28"/>
                              </w:rPr>
                              <w:t>OF</w:t>
                            </w:r>
                            <w:r>
                              <w:rPr>
                                <w:rFonts w:ascii="Book Antiqua"/>
                                <w:color w:val="FFFFFF"/>
                                <w:spacing w:val="39"/>
                                <w:sz w:val="28"/>
                              </w:rPr>
                              <w:t xml:space="preserve"> </w:t>
                            </w:r>
                            <w:r>
                              <w:rPr>
                                <w:rFonts w:ascii="Book Antiqua"/>
                                <w:color w:val="FFFFFF"/>
                                <w:spacing w:val="13"/>
                                <w:sz w:val="28"/>
                              </w:rPr>
                              <w:t>GOVERNMENTS</w:t>
                            </w:r>
                          </w:p>
                        </w:txbxContent>
                      </wps:txbx>
                      <wps:bodyPr wrap="square" lIns="0" tIns="0" rIns="0" bIns="0" rtlCol="0">
                        <a:noAutofit/>
                      </wps:bodyPr>
                    </wps:wsp>
                  </a:graphicData>
                </a:graphic>
              </wp:inline>
            </w:drawing>
          </mc:Choice>
          <mc:Fallback>
            <w:pict>
              <v:shapetype w14:anchorId="59DB327E" id="_x0000_t202" coordsize="21600,21600" o:spt="202" path="m,l,21600r21600,l21600,xe">
                <v:stroke joinstyle="miter"/>
                <v:path gradientshapeok="t" o:connecttype="rect"/>
              </v:shapetype>
              <v:shape id="Textbox 1" o:spid="_x0000_s1026" type="#_x0000_t202" style="width:451.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" fillcolor="#2e75b6" strokecolor="#2e75b6" strokeweight="1pt">
                <v:path arrowok="t"/>
                <v:textbox inset="0,0,0,0">
                  <w:txbxContent>
                    <w:p w14:paraId="59DB3284" w14:textId="77777777" w:rsidR="00271A4C" w:rsidRDefault="005E42A2">
                      <w:pPr>
                        <w:spacing w:before="73"/>
                        <w:ind w:left="144"/>
                        <w:rPr>
                          <w:rFonts w:ascii="Book Antiqua"/>
                          <w:color w:val="000000"/>
                          <w:sz w:val="28"/>
                        </w:rPr>
                      </w:pPr>
                      <w:r>
                        <w:rPr>
                          <w:rFonts w:ascii="Book Antiqua"/>
                          <w:color w:val="FFFFFF"/>
                          <w:spacing w:val="12"/>
                          <w:sz w:val="28"/>
                        </w:rPr>
                        <w:t>SAN</w:t>
                      </w:r>
                      <w:r>
                        <w:rPr>
                          <w:rFonts w:ascii="Book Antiqua"/>
                          <w:color w:val="FFFFFF"/>
                          <w:spacing w:val="40"/>
                          <w:sz w:val="28"/>
                        </w:rPr>
                        <w:t xml:space="preserve"> </w:t>
                      </w:r>
                      <w:r>
                        <w:rPr>
                          <w:rFonts w:ascii="Book Antiqua"/>
                          <w:color w:val="FFFFFF"/>
                          <w:spacing w:val="16"/>
                          <w:sz w:val="28"/>
                        </w:rPr>
                        <w:t>JOAQUIN</w:t>
                      </w:r>
                      <w:r>
                        <w:rPr>
                          <w:rFonts w:ascii="Book Antiqua"/>
                          <w:color w:val="FFFFFF"/>
                          <w:spacing w:val="40"/>
                          <w:sz w:val="28"/>
                        </w:rPr>
                        <w:t xml:space="preserve"> </w:t>
                      </w:r>
                      <w:r>
                        <w:rPr>
                          <w:rFonts w:ascii="Book Antiqua"/>
                          <w:color w:val="FFFFFF"/>
                          <w:spacing w:val="16"/>
                          <w:sz w:val="28"/>
                        </w:rPr>
                        <w:t>COUNCIL</w:t>
                      </w:r>
                      <w:r>
                        <w:rPr>
                          <w:rFonts w:ascii="Book Antiqua"/>
                          <w:color w:val="FFFFFF"/>
                          <w:spacing w:val="40"/>
                          <w:sz w:val="28"/>
                        </w:rPr>
                        <w:t xml:space="preserve"> </w:t>
                      </w:r>
                      <w:r>
                        <w:rPr>
                          <w:rFonts w:ascii="Book Antiqua"/>
                          <w:color w:val="FFFFFF"/>
                          <w:spacing w:val="10"/>
                          <w:sz w:val="28"/>
                        </w:rPr>
                        <w:t>OF</w:t>
                      </w:r>
                      <w:r>
                        <w:rPr>
                          <w:rFonts w:ascii="Book Antiqua"/>
                          <w:color w:val="FFFFFF"/>
                          <w:spacing w:val="39"/>
                          <w:sz w:val="28"/>
                        </w:rPr>
                        <w:t xml:space="preserve"> </w:t>
                      </w:r>
                      <w:r>
                        <w:rPr>
                          <w:rFonts w:ascii="Book Antiqua"/>
                          <w:color w:val="FFFFFF"/>
                          <w:spacing w:val="13"/>
                          <w:sz w:val="28"/>
                        </w:rPr>
                        <w:t>GOVERNMENTS</w:t>
                      </w:r>
                    </w:p>
                  </w:txbxContent>
                </v:textbox>
                <w10:anchorlock/>
              </v:shape>
            </w:pict>
          </mc:Fallback>
        </mc:AlternateContent>
      </w:r>
    </w:p>
    <w:p w14:paraId="59DB325E" w14:textId="77777777" w:rsidR="00271A4C" w:rsidRDefault="005E42A2">
      <w:pPr>
        <w:spacing w:before="46"/>
        <w:ind w:left="1635"/>
        <w:rPr>
          <w:i/>
          <w:sz w:val="20"/>
        </w:rPr>
      </w:pPr>
      <w:r>
        <w:rPr>
          <w:noProof/>
        </w:rPr>
        <w:drawing>
          <wp:anchor distT="0" distB="0" distL="0" distR="0" simplePos="0" relativeHeight="251658240" behindDoc="0" locked="0" layoutInCell="1" allowOverlap="1" wp14:anchorId="59DB3280" wp14:editId="59DB3281">
            <wp:simplePos x="0" y="0"/>
            <wp:positionH relativeFrom="page">
              <wp:posOffset>483235</wp:posOffset>
            </wp:positionH>
            <wp:positionV relativeFrom="paragraph">
              <wp:posOffset>-366709</wp:posOffset>
            </wp:positionV>
            <wp:extent cx="798829" cy="1348739"/>
            <wp:effectExtent l="0" t="0" r="0" b="0"/>
            <wp:wrapNone/>
            <wp:docPr id="2" name="Image 2" descr="non-text-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n-text-logo"/>
                    <pic:cNvPicPr/>
                  </pic:nvPicPr>
                  <pic:blipFill>
                    <a:blip r:embed="rId8" cstate="print"/>
                    <a:stretch>
                      <a:fillRect/>
                    </a:stretch>
                  </pic:blipFill>
                  <pic:spPr>
                    <a:xfrm>
                      <a:off x="0" y="0"/>
                      <a:ext cx="798829" cy="1348739"/>
                    </a:xfrm>
                    <a:prstGeom prst="rect">
                      <a:avLst/>
                    </a:prstGeom>
                  </pic:spPr>
                </pic:pic>
              </a:graphicData>
            </a:graphic>
          </wp:anchor>
        </w:drawing>
      </w:r>
      <w:r>
        <w:rPr>
          <w:i/>
          <w:color w:val="0070C0"/>
          <w:sz w:val="20"/>
        </w:rPr>
        <w:t>555</w:t>
      </w:r>
      <w:r>
        <w:rPr>
          <w:i/>
          <w:color w:val="0070C0"/>
          <w:spacing w:val="-3"/>
          <w:sz w:val="20"/>
        </w:rPr>
        <w:t xml:space="preserve"> </w:t>
      </w:r>
      <w:r>
        <w:rPr>
          <w:i/>
          <w:color w:val="0070C0"/>
          <w:sz w:val="20"/>
        </w:rPr>
        <w:t>E.</w:t>
      </w:r>
      <w:r>
        <w:rPr>
          <w:i/>
          <w:color w:val="0070C0"/>
          <w:spacing w:val="-5"/>
          <w:sz w:val="20"/>
        </w:rPr>
        <w:t xml:space="preserve"> </w:t>
      </w:r>
      <w:r>
        <w:rPr>
          <w:i/>
          <w:color w:val="0070C0"/>
          <w:sz w:val="20"/>
        </w:rPr>
        <w:t>Weber</w:t>
      </w:r>
      <w:r>
        <w:rPr>
          <w:i/>
          <w:color w:val="0070C0"/>
          <w:spacing w:val="-5"/>
          <w:sz w:val="20"/>
        </w:rPr>
        <w:t xml:space="preserve"> </w:t>
      </w:r>
      <w:r>
        <w:rPr>
          <w:i/>
          <w:color w:val="0070C0"/>
          <w:sz w:val="20"/>
        </w:rPr>
        <w:t>Avenue</w:t>
      </w:r>
      <w:r>
        <w:rPr>
          <w:i/>
          <w:color w:val="0070C0"/>
          <w:spacing w:val="-3"/>
          <w:sz w:val="20"/>
        </w:rPr>
        <w:t xml:space="preserve"> </w:t>
      </w:r>
      <w:r>
        <w:rPr>
          <w:rFonts w:ascii="Symbol" w:hAnsi="Symbol"/>
          <w:i/>
          <w:color w:val="2E74B5"/>
          <w:sz w:val="27"/>
        </w:rPr>
        <w:t></w:t>
      </w:r>
      <w:r>
        <w:rPr>
          <w:color w:val="2E74B5"/>
          <w:spacing w:val="71"/>
          <w:sz w:val="27"/>
        </w:rPr>
        <w:t xml:space="preserve"> </w:t>
      </w:r>
      <w:r>
        <w:rPr>
          <w:i/>
          <w:color w:val="0070C0"/>
          <w:sz w:val="20"/>
        </w:rPr>
        <w:t>Stockton,</w:t>
      </w:r>
      <w:r>
        <w:rPr>
          <w:i/>
          <w:color w:val="0070C0"/>
          <w:spacing w:val="-3"/>
          <w:sz w:val="20"/>
        </w:rPr>
        <w:t xml:space="preserve"> </w:t>
      </w:r>
      <w:r>
        <w:rPr>
          <w:i/>
          <w:color w:val="0070C0"/>
          <w:sz w:val="20"/>
        </w:rPr>
        <w:t>California</w:t>
      </w:r>
      <w:r>
        <w:rPr>
          <w:i/>
          <w:color w:val="0070C0"/>
          <w:spacing w:val="-2"/>
          <w:sz w:val="20"/>
        </w:rPr>
        <w:t xml:space="preserve"> </w:t>
      </w:r>
      <w:r>
        <w:rPr>
          <w:i/>
          <w:color w:val="0070C0"/>
          <w:sz w:val="20"/>
        </w:rPr>
        <w:t>95202</w:t>
      </w:r>
      <w:r>
        <w:rPr>
          <w:i/>
          <w:color w:val="0070C0"/>
          <w:spacing w:val="-5"/>
          <w:sz w:val="20"/>
        </w:rPr>
        <w:t xml:space="preserve"> </w:t>
      </w:r>
      <w:r>
        <w:rPr>
          <w:rFonts w:ascii="Symbol" w:hAnsi="Symbol"/>
          <w:i/>
          <w:color w:val="2E74B5"/>
          <w:sz w:val="27"/>
        </w:rPr>
        <w:t></w:t>
      </w:r>
      <w:r>
        <w:rPr>
          <w:color w:val="2E74B5"/>
          <w:spacing w:val="26"/>
          <w:sz w:val="27"/>
        </w:rPr>
        <w:t xml:space="preserve"> </w:t>
      </w:r>
      <w:r>
        <w:rPr>
          <w:i/>
          <w:color w:val="0070C0"/>
          <w:sz w:val="20"/>
        </w:rPr>
        <w:t>P</w:t>
      </w:r>
      <w:r>
        <w:rPr>
          <w:i/>
          <w:color w:val="0070C0"/>
          <w:spacing w:val="-5"/>
          <w:sz w:val="20"/>
        </w:rPr>
        <w:t xml:space="preserve"> </w:t>
      </w:r>
      <w:r>
        <w:rPr>
          <w:i/>
          <w:color w:val="0070C0"/>
          <w:sz w:val="20"/>
        </w:rPr>
        <w:t>209.235.0600</w:t>
      </w:r>
      <w:r>
        <w:rPr>
          <w:i/>
          <w:color w:val="0070C0"/>
          <w:spacing w:val="42"/>
          <w:sz w:val="20"/>
        </w:rPr>
        <w:t xml:space="preserve"> </w:t>
      </w:r>
      <w:r>
        <w:rPr>
          <w:rFonts w:ascii="Symbol" w:hAnsi="Symbol"/>
          <w:i/>
          <w:color w:val="2E74B5"/>
          <w:sz w:val="27"/>
        </w:rPr>
        <w:t></w:t>
      </w:r>
      <w:r>
        <w:rPr>
          <w:color w:val="2E74B5"/>
          <w:spacing w:val="26"/>
          <w:sz w:val="27"/>
        </w:rPr>
        <w:t xml:space="preserve"> </w:t>
      </w:r>
      <w:r>
        <w:rPr>
          <w:i/>
          <w:color w:val="0070C0"/>
          <w:sz w:val="20"/>
        </w:rPr>
        <w:t>F</w:t>
      </w:r>
      <w:r>
        <w:rPr>
          <w:i/>
          <w:color w:val="0070C0"/>
          <w:spacing w:val="-5"/>
          <w:sz w:val="20"/>
        </w:rPr>
        <w:t xml:space="preserve"> </w:t>
      </w:r>
      <w:r>
        <w:rPr>
          <w:i/>
          <w:color w:val="0070C0"/>
          <w:sz w:val="20"/>
        </w:rPr>
        <w:t>209.235.0438</w:t>
      </w:r>
      <w:r>
        <w:rPr>
          <w:i/>
          <w:color w:val="0070C0"/>
          <w:spacing w:val="45"/>
          <w:sz w:val="20"/>
        </w:rPr>
        <w:t xml:space="preserve"> </w:t>
      </w:r>
      <w:r>
        <w:rPr>
          <w:rFonts w:ascii="Symbol" w:hAnsi="Symbol"/>
          <w:i/>
          <w:color w:val="2E74B5"/>
          <w:sz w:val="27"/>
        </w:rPr>
        <w:t></w:t>
      </w:r>
      <w:r>
        <w:rPr>
          <w:color w:val="2E74B5"/>
          <w:spacing w:val="53"/>
          <w:w w:val="150"/>
          <w:sz w:val="27"/>
        </w:rPr>
        <w:t xml:space="preserve"> </w:t>
      </w:r>
      <w:hyperlink r:id="rId9">
        <w:r>
          <w:rPr>
            <w:i/>
            <w:color w:val="0070C0"/>
            <w:spacing w:val="-2"/>
            <w:sz w:val="20"/>
          </w:rPr>
          <w:t>www.sjcog.org</w:t>
        </w:r>
      </w:hyperlink>
    </w:p>
    <w:p w14:paraId="59DB325F" w14:textId="77777777" w:rsidR="00271A4C" w:rsidRDefault="00271A4C">
      <w:pPr>
        <w:pStyle w:val="BodyText"/>
        <w:spacing w:before="229"/>
        <w:rPr>
          <w:i/>
          <w:sz w:val="20"/>
        </w:rPr>
      </w:pPr>
    </w:p>
    <w:p w14:paraId="59DB3260" w14:textId="77777777" w:rsidR="00271A4C" w:rsidRDefault="005E42A2">
      <w:pPr>
        <w:pStyle w:val="Title"/>
      </w:pPr>
      <w:r>
        <w:t>SEC</w:t>
      </w:r>
      <w:r>
        <w:rPr>
          <w:spacing w:val="-9"/>
        </w:rPr>
        <w:t xml:space="preserve"> </w:t>
      </w:r>
      <w:r>
        <w:t>Municipal</w:t>
      </w:r>
      <w:r>
        <w:rPr>
          <w:spacing w:val="-9"/>
        </w:rPr>
        <w:t xml:space="preserve"> </w:t>
      </w:r>
      <w:r>
        <w:t>Advisor</w:t>
      </w:r>
      <w:r>
        <w:rPr>
          <w:spacing w:val="-11"/>
        </w:rPr>
        <w:t xml:space="preserve"> </w:t>
      </w:r>
      <w:r>
        <w:t>Rule</w:t>
      </w:r>
      <w:r>
        <w:rPr>
          <w:spacing w:val="-9"/>
        </w:rPr>
        <w:t xml:space="preserve"> </w:t>
      </w:r>
      <w:r>
        <w:t>– Evidence</w:t>
      </w:r>
      <w:r>
        <w:rPr>
          <w:spacing w:val="-6"/>
        </w:rPr>
        <w:t xml:space="preserve"> </w:t>
      </w:r>
      <w:r>
        <w:t>of</w:t>
      </w:r>
      <w:r>
        <w:rPr>
          <w:spacing w:val="-4"/>
        </w:rPr>
        <w:t xml:space="preserve"> </w:t>
      </w:r>
      <w:r>
        <w:t>IRMA</w:t>
      </w:r>
      <w:r>
        <w:rPr>
          <w:spacing w:val="-4"/>
        </w:rPr>
        <w:t xml:space="preserve"> </w:t>
      </w:r>
      <w:r>
        <w:rPr>
          <w:spacing w:val="-2"/>
        </w:rPr>
        <w:t>Exemption</w:t>
      </w:r>
    </w:p>
    <w:p w14:paraId="59DB3261" w14:textId="77777777" w:rsidR="00271A4C" w:rsidRDefault="00271A4C">
      <w:pPr>
        <w:pStyle w:val="BodyText"/>
        <w:rPr>
          <w:b/>
          <w:sz w:val="16"/>
        </w:rPr>
      </w:pPr>
    </w:p>
    <w:p w14:paraId="59DB3262" w14:textId="77777777" w:rsidR="00271A4C" w:rsidRDefault="00271A4C">
      <w:pPr>
        <w:rPr>
          <w:sz w:val="16"/>
        </w:rPr>
        <w:sectPr w:rsidR="00271A4C">
          <w:type w:val="continuous"/>
          <w:pgSz w:w="12240" w:h="15840"/>
          <w:pgMar w:top="840" w:right="840" w:bottom="280" w:left="640" w:header="720" w:footer="720" w:gutter="0"/>
          <w:cols w:space="720"/>
        </w:sectPr>
      </w:pPr>
    </w:p>
    <w:p w14:paraId="59DB3263" w14:textId="77777777" w:rsidR="00271A4C" w:rsidRDefault="00271A4C">
      <w:pPr>
        <w:pStyle w:val="BodyText"/>
        <w:rPr>
          <w:b/>
          <w:sz w:val="17"/>
        </w:rPr>
      </w:pPr>
    </w:p>
    <w:p w14:paraId="59DB3264" w14:textId="77777777" w:rsidR="00271A4C" w:rsidRDefault="00271A4C">
      <w:pPr>
        <w:pStyle w:val="BodyText"/>
        <w:spacing w:before="98"/>
        <w:rPr>
          <w:b/>
          <w:sz w:val="17"/>
        </w:rPr>
      </w:pPr>
    </w:p>
    <w:p w14:paraId="59DB3265" w14:textId="4E429E17" w:rsidR="00271A4C" w:rsidRDefault="004B3771">
      <w:pPr>
        <w:ind w:left="194" w:right="9"/>
        <w:jc w:val="center"/>
        <w:rPr>
          <w:i/>
          <w:sz w:val="17"/>
        </w:rPr>
      </w:pPr>
      <w:r>
        <w:rPr>
          <w:i/>
          <w:color w:val="0070C0"/>
          <w:spacing w:val="-9"/>
          <w:sz w:val="17"/>
        </w:rPr>
        <w:t>Sonny Dhaliwal</w:t>
      </w:r>
    </w:p>
    <w:p w14:paraId="59DB3266" w14:textId="77777777" w:rsidR="00271A4C" w:rsidRDefault="005E42A2">
      <w:pPr>
        <w:spacing w:before="97"/>
        <w:ind w:left="194" w:right="6"/>
        <w:jc w:val="center"/>
        <w:rPr>
          <w:rFonts w:ascii="Century Gothic"/>
          <w:sz w:val="12"/>
        </w:rPr>
      </w:pPr>
      <w:r>
        <w:rPr>
          <w:rFonts w:ascii="Century Gothic"/>
          <w:color w:val="0070C0"/>
          <w:spacing w:val="-2"/>
          <w:sz w:val="12"/>
        </w:rPr>
        <w:t>CHAIR</w:t>
      </w:r>
    </w:p>
    <w:p w14:paraId="59DB3267" w14:textId="0F8338C3" w:rsidR="00271A4C" w:rsidRDefault="004B3771">
      <w:pPr>
        <w:spacing w:before="144" w:line="132" w:lineRule="exact"/>
        <w:ind w:left="194"/>
        <w:jc w:val="center"/>
        <w:rPr>
          <w:i/>
          <w:sz w:val="17"/>
        </w:rPr>
      </w:pPr>
      <w:r>
        <w:rPr>
          <w:i/>
          <w:color w:val="0070C0"/>
          <w:spacing w:val="-7"/>
          <w:sz w:val="17"/>
        </w:rPr>
        <w:t>Kevin Lincoln</w:t>
      </w:r>
    </w:p>
    <w:p w14:paraId="59DB3268" w14:textId="77777777" w:rsidR="00271A4C" w:rsidRDefault="005E42A2">
      <w:pPr>
        <w:rPr>
          <w:i/>
          <w:sz w:val="24"/>
        </w:rPr>
      </w:pPr>
      <w:r>
        <w:br w:type="column"/>
      </w:r>
    </w:p>
    <w:p w14:paraId="59DB3269" w14:textId="77777777" w:rsidR="00271A4C" w:rsidRDefault="00271A4C">
      <w:pPr>
        <w:pStyle w:val="BodyText"/>
        <w:spacing w:before="90"/>
        <w:rPr>
          <w:i/>
        </w:rPr>
      </w:pPr>
    </w:p>
    <w:p w14:paraId="59DB326A" w14:textId="77777777" w:rsidR="00271A4C" w:rsidRDefault="005E42A2">
      <w:pPr>
        <w:pStyle w:val="BodyText"/>
        <w:ind w:left="121"/>
      </w:pPr>
      <w:r>
        <w:t>To</w:t>
      </w:r>
      <w:r>
        <w:rPr>
          <w:spacing w:val="-2"/>
        </w:rPr>
        <w:t xml:space="preserve"> </w:t>
      </w:r>
      <w:r>
        <w:t>Whom It</w:t>
      </w:r>
      <w:r>
        <w:rPr>
          <w:spacing w:val="-2"/>
        </w:rPr>
        <w:t xml:space="preserve"> </w:t>
      </w:r>
      <w:r>
        <w:t>May</w:t>
      </w:r>
      <w:r>
        <w:rPr>
          <w:spacing w:val="-1"/>
        </w:rPr>
        <w:t xml:space="preserve"> </w:t>
      </w:r>
      <w:r>
        <w:rPr>
          <w:spacing w:val="-2"/>
        </w:rPr>
        <w:t>Concern:</w:t>
      </w:r>
    </w:p>
    <w:p w14:paraId="59DB326B" w14:textId="377B6160" w:rsidR="00271A4C" w:rsidRDefault="005E42A2">
      <w:pPr>
        <w:pStyle w:val="BodyText"/>
        <w:spacing w:before="90"/>
        <w:ind w:left="121"/>
      </w:pPr>
      <w:r>
        <w:br w:type="column"/>
      </w:r>
      <w:r w:rsidR="004B3771">
        <w:t>August</w:t>
      </w:r>
      <w:r>
        <w:rPr>
          <w:spacing w:val="-2"/>
        </w:rPr>
        <w:t xml:space="preserve"> </w:t>
      </w:r>
      <w:r w:rsidR="004B3771">
        <w:rPr>
          <w:spacing w:val="-2"/>
        </w:rPr>
        <w:t>14</w:t>
      </w:r>
      <w:r>
        <w:t>,</w:t>
      </w:r>
      <w:r>
        <w:rPr>
          <w:spacing w:val="-2"/>
        </w:rPr>
        <w:t xml:space="preserve"> </w:t>
      </w:r>
      <w:r>
        <w:rPr>
          <w:spacing w:val="-4"/>
        </w:rPr>
        <w:t>202</w:t>
      </w:r>
      <w:r w:rsidR="004B3771">
        <w:rPr>
          <w:spacing w:val="-4"/>
        </w:rPr>
        <w:t>4</w:t>
      </w:r>
    </w:p>
    <w:p w14:paraId="59DB326C" w14:textId="77777777" w:rsidR="00271A4C" w:rsidRDefault="00271A4C">
      <w:pPr>
        <w:sectPr w:rsidR="00271A4C">
          <w:type w:val="continuous"/>
          <w:pgSz w:w="12240" w:h="15840"/>
          <w:pgMar w:top="840" w:right="840" w:bottom="280" w:left="640" w:header="720" w:footer="720" w:gutter="0"/>
          <w:cols w:num="3" w:space="720" w:equalWidth="0">
            <w:col w:w="1419" w:space="438"/>
            <w:col w:w="2786" w:space="641"/>
            <w:col w:w="5476"/>
          </w:cols>
        </w:sectPr>
      </w:pPr>
    </w:p>
    <w:p w14:paraId="59DB326D" w14:textId="77777777" w:rsidR="00271A4C" w:rsidRDefault="00271A4C">
      <w:pPr>
        <w:pStyle w:val="BodyText"/>
        <w:spacing w:before="22"/>
        <w:rPr>
          <w:sz w:val="12"/>
        </w:rPr>
      </w:pPr>
    </w:p>
    <w:p w14:paraId="59DB326E" w14:textId="77777777" w:rsidR="00271A4C" w:rsidRDefault="005E42A2">
      <w:pPr>
        <w:ind w:left="182" w:right="113"/>
        <w:jc w:val="center"/>
        <w:rPr>
          <w:rFonts w:ascii="Century Gothic"/>
          <w:sz w:val="12"/>
        </w:rPr>
      </w:pPr>
      <w:r>
        <w:rPr>
          <w:rFonts w:ascii="Century Gothic"/>
          <w:color w:val="0070C0"/>
          <w:spacing w:val="-2"/>
          <w:sz w:val="12"/>
        </w:rPr>
        <w:t>VICE-CHAIR</w:t>
      </w:r>
    </w:p>
    <w:p w14:paraId="59DB326F" w14:textId="77777777" w:rsidR="00271A4C" w:rsidRDefault="005E42A2">
      <w:pPr>
        <w:spacing w:before="146"/>
        <w:ind w:left="72"/>
        <w:jc w:val="center"/>
        <w:rPr>
          <w:i/>
          <w:sz w:val="17"/>
        </w:rPr>
      </w:pPr>
      <w:r>
        <w:rPr>
          <w:i/>
          <w:color w:val="0070C0"/>
          <w:sz w:val="17"/>
        </w:rPr>
        <w:t>Diane</w:t>
      </w:r>
      <w:r>
        <w:rPr>
          <w:i/>
          <w:color w:val="0070C0"/>
          <w:spacing w:val="-1"/>
          <w:sz w:val="17"/>
        </w:rPr>
        <w:t xml:space="preserve"> </w:t>
      </w:r>
      <w:r>
        <w:rPr>
          <w:i/>
          <w:color w:val="0070C0"/>
          <w:spacing w:val="-2"/>
          <w:sz w:val="17"/>
        </w:rPr>
        <w:t>Nguyen</w:t>
      </w:r>
    </w:p>
    <w:p w14:paraId="59DB3270" w14:textId="77777777" w:rsidR="00271A4C" w:rsidRDefault="005E42A2">
      <w:pPr>
        <w:spacing w:before="97"/>
        <w:ind w:left="182" w:right="113"/>
        <w:jc w:val="center"/>
        <w:rPr>
          <w:rFonts w:ascii="Century Gothic"/>
          <w:sz w:val="12"/>
        </w:rPr>
      </w:pPr>
      <w:r>
        <w:rPr>
          <w:rFonts w:ascii="Century Gothic"/>
          <w:color w:val="0070C0"/>
          <w:sz w:val="12"/>
        </w:rPr>
        <w:t>EXECUTIVE</w:t>
      </w:r>
      <w:r>
        <w:rPr>
          <w:rFonts w:ascii="Century Gothic"/>
          <w:color w:val="0070C0"/>
          <w:spacing w:val="-5"/>
          <w:sz w:val="12"/>
        </w:rPr>
        <w:t xml:space="preserve"> </w:t>
      </w:r>
      <w:r>
        <w:rPr>
          <w:rFonts w:ascii="Century Gothic"/>
          <w:color w:val="0070C0"/>
          <w:spacing w:val="-2"/>
          <w:sz w:val="12"/>
        </w:rPr>
        <w:t>DIRECTOR</w:t>
      </w:r>
    </w:p>
    <w:p w14:paraId="59DB3271" w14:textId="77777777" w:rsidR="00271A4C" w:rsidRDefault="005E42A2">
      <w:pPr>
        <w:spacing w:before="146" w:line="276" w:lineRule="auto"/>
        <w:ind w:left="182" w:right="108"/>
        <w:jc w:val="center"/>
        <w:rPr>
          <w:rFonts w:ascii="Century Gothic"/>
          <w:sz w:val="14"/>
        </w:rPr>
      </w:pPr>
      <w:r>
        <w:rPr>
          <w:i/>
          <w:color w:val="0070C0"/>
          <w:sz w:val="17"/>
        </w:rPr>
        <w:t>Member</w:t>
      </w:r>
      <w:r>
        <w:rPr>
          <w:i/>
          <w:color w:val="0070C0"/>
          <w:spacing w:val="-11"/>
          <w:sz w:val="17"/>
        </w:rPr>
        <w:t xml:space="preserve"> </w:t>
      </w:r>
      <w:r>
        <w:rPr>
          <w:i/>
          <w:color w:val="0070C0"/>
          <w:sz w:val="17"/>
        </w:rPr>
        <w:t xml:space="preserve">Agencies </w:t>
      </w:r>
      <w:r>
        <w:rPr>
          <w:rFonts w:ascii="Century Gothic"/>
          <w:color w:val="0070C0"/>
          <w:sz w:val="14"/>
        </w:rPr>
        <w:t>CITIES OF</w:t>
      </w:r>
      <w:r>
        <w:rPr>
          <w:rFonts w:ascii="Century Gothic"/>
          <w:color w:val="0070C0"/>
          <w:spacing w:val="40"/>
          <w:sz w:val="14"/>
        </w:rPr>
        <w:t xml:space="preserve"> </w:t>
      </w:r>
      <w:r>
        <w:rPr>
          <w:rFonts w:ascii="Century Gothic"/>
          <w:color w:val="0070C0"/>
          <w:spacing w:val="-2"/>
          <w:sz w:val="14"/>
        </w:rPr>
        <w:t>ESCALON,</w:t>
      </w:r>
      <w:r>
        <w:rPr>
          <w:rFonts w:ascii="Century Gothic"/>
          <w:color w:val="0070C0"/>
          <w:spacing w:val="40"/>
          <w:sz w:val="14"/>
        </w:rPr>
        <w:t xml:space="preserve"> </w:t>
      </w:r>
      <w:r>
        <w:rPr>
          <w:rFonts w:ascii="Century Gothic"/>
          <w:color w:val="0070C0"/>
          <w:spacing w:val="-2"/>
          <w:sz w:val="14"/>
        </w:rPr>
        <w:t>LATHROP,</w:t>
      </w:r>
    </w:p>
    <w:p w14:paraId="59DB3272" w14:textId="77777777" w:rsidR="00271A4C" w:rsidRDefault="005E42A2">
      <w:pPr>
        <w:spacing w:line="280" w:lineRule="auto"/>
        <w:ind w:left="418" w:right="347" w:hanging="3"/>
        <w:jc w:val="center"/>
        <w:rPr>
          <w:rFonts w:ascii="Century Gothic"/>
          <w:sz w:val="14"/>
        </w:rPr>
      </w:pPr>
      <w:r>
        <w:rPr>
          <w:rFonts w:ascii="Century Gothic"/>
          <w:color w:val="0070C0"/>
          <w:spacing w:val="-2"/>
          <w:sz w:val="14"/>
        </w:rPr>
        <w:t>LODI,</w:t>
      </w:r>
      <w:r>
        <w:rPr>
          <w:rFonts w:ascii="Century Gothic"/>
          <w:color w:val="0070C0"/>
          <w:spacing w:val="40"/>
          <w:sz w:val="14"/>
        </w:rPr>
        <w:t xml:space="preserve"> </w:t>
      </w:r>
      <w:r>
        <w:rPr>
          <w:rFonts w:ascii="Century Gothic"/>
          <w:color w:val="0070C0"/>
          <w:spacing w:val="-2"/>
          <w:sz w:val="14"/>
        </w:rPr>
        <w:t>MANTECA,</w:t>
      </w:r>
      <w:r>
        <w:rPr>
          <w:rFonts w:ascii="Century Gothic"/>
          <w:color w:val="0070C0"/>
          <w:spacing w:val="40"/>
          <w:sz w:val="14"/>
        </w:rPr>
        <w:t xml:space="preserve"> </w:t>
      </w:r>
      <w:r>
        <w:rPr>
          <w:rFonts w:ascii="Century Gothic"/>
          <w:color w:val="0070C0"/>
          <w:spacing w:val="-2"/>
          <w:sz w:val="14"/>
        </w:rPr>
        <w:t>RIPON,</w:t>
      </w:r>
      <w:r>
        <w:rPr>
          <w:rFonts w:ascii="Century Gothic"/>
          <w:color w:val="0070C0"/>
          <w:spacing w:val="40"/>
          <w:sz w:val="14"/>
        </w:rPr>
        <w:t xml:space="preserve"> </w:t>
      </w:r>
      <w:r>
        <w:rPr>
          <w:rFonts w:ascii="Century Gothic"/>
          <w:color w:val="0070C0"/>
          <w:spacing w:val="-2"/>
          <w:sz w:val="14"/>
        </w:rPr>
        <w:t>STOCKTON,</w:t>
      </w:r>
      <w:r>
        <w:rPr>
          <w:rFonts w:ascii="Century Gothic"/>
          <w:color w:val="0070C0"/>
          <w:spacing w:val="40"/>
          <w:sz w:val="14"/>
        </w:rPr>
        <w:t xml:space="preserve"> </w:t>
      </w:r>
      <w:r>
        <w:rPr>
          <w:rFonts w:ascii="Century Gothic"/>
          <w:color w:val="0070C0"/>
          <w:spacing w:val="-2"/>
          <w:sz w:val="14"/>
        </w:rPr>
        <w:t>TRACY,</w:t>
      </w:r>
      <w:r>
        <w:rPr>
          <w:rFonts w:ascii="Century Gothic"/>
          <w:color w:val="0070C0"/>
          <w:spacing w:val="40"/>
          <w:sz w:val="14"/>
        </w:rPr>
        <w:t xml:space="preserve"> </w:t>
      </w:r>
      <w:r>
        <w:rPr>
          <w:rFonts w:ascii="Century Gothic"/>
          <w:color w:val="0070C0"/>
          <w:spacing w:val="-4"/>
          <w:sz w:val="14"/>
        </w:rPr>
        <w:t>AND</w:t>
      </w:r>
    </w:p>
    <w:p w14:paraId="59DB3273" w14:textId="77777777" w:rsidR="00271A4C" w:rsidRDefault="005E42A2">
      <w:pPr>
        <w:spacing w:line="280" w:lineRule="auto"/>
        <w:ind w:left="73"/>
        <w:jc w:val="center"/>
        <w:rPr>
          <w:rFonts w:ascii="Century Gothic"/>
          <w:sz w:val="14"/>
        </w:rPr>
      </w:pPr>
      <w:r>
        <w:rPr>
          <w:rFonts w:ascii="Century Gothic"/>
          <w:color w:val="0070C0"/>
          <w:sz w:val="14"/>
        </w:rPr>
        <w:t>THE</w:t>
      </w:r>
      <w:r>
        <w:rPr>
          <w:rFonts w:ascii="Century Gothic"/>
          <w:color w:val="0070C0"/>
          <w:spacing w:val="-10"/>
          <w:sz w:val="14"/>
        </w:rPr>
        <w:t xml:space="preserve"> </w:t>
      </w:r>
      <w:r>
        <w:rPr>
          <w:rFonts w:ascii="Century Gothic"/>
          <w:color w:val="0070C0"/>
          <w:sz w:val="14"/>
        </w:rPr>
        <w:t>COUNTY</w:t>
      </w:r>
      <w:r>
        <w:rPr>
          <w:rFonts w:ascii="Century Gothic"/>
          <w:color w:val="0070C0"/>
          <w:spacing w:val="-10"/>
          <w:sz w:val="14"/>
        </w:rPr>
        <w:t xml:space="preserve"> </w:t>
      </w:r>
      <w:r>
        <w:rPr>
          <w:rFonts w:ascii="Century Gothic"/>
          <w:color w:val="0070C0"/>
          <w:sz w:val="14"/>
        </w:rPr>
        <w:t>OF</w:t>
      </w:r>
      <w:r>
        <w:rPr>
          <w:rFonts w:ascii="Century Gothic"/>
          <w:color w:val="0070C0"/>
          <w:spacing w:val="-10"/>
          <w:sz w:val="14"/>
        </w:rPr>
        <w:t xml:space="preserve"> </w:t>
      </w:r>
      <w:r>
        <w:rPr>
          <w:rFonts w:ascii="Century Gothic"/>
          <w:color w:val="0070C0"/>
          <w:sz w:val="14"/>
        </w:rPr>
        <w:t>SAN</w:t>
      </w:r>
      <w:r>
        <w:rPr>
          <w:rFonts w:ascii="Century Gothic"/>
          <w:color w:val="0070C0"/>
          <w:spacing w:val="40"/>
          <w:sz w:val="14"/>
        </w:rPr>
        <w:t xml:space="preserve"> </w:t>
      </w:r>
      <w:r>
        <w:rPr>
          <w:rFonts w:ascii="Century Gothic"/>
          <w:color w:val="0070C0"/>
          <w:spacing w:val="-2"/>
          <w:sz w:val="14"/>
        </w:rPr>
        <w:t>JOAQUIN</w:t>
      </w:r>
    </w:p>
    <w:p w14:paraId="59DB3274" w14:textId="77777777" w:rsidR="00271A4C" w:rsidRDefault="005E42A2">
      <w:pPr>
        <w:ind w:left="111" w:right="289"/>
        <w:rPr>
          <w:b/>
          <w:i/>
          <w:sz w:val="24"/>
        </w:rPr>
      </w:pPr>
      <w:r>
        <w:br w:type="column"/>
      </w:r>
      <w:r>
        <w:rPr>
          <w:b/>
          <w:i/>
          <w:sz w:val="24"/>
        </w:rPr>
        <w:t>By publicly posting the following written disclosure, the San Joaquin Council of Governments, and, including acting in its capacity as the San Joaquin County Transportation Authority (“SJCOG”), intends that market participants receive and use</w:t>
      </w:r>
      <w:r>
        <w:rPr>
          <w:b/>
          <w:i/>
          <w:spacing w:val="-4"/>
          <w:sz w:val="24"/>
        </w:rPr>
        <w:t xml:space="preserve"> </w:t>
      </w:r>
      <w:r>
        <w:rPr>
          <w:b/>
          <w:i/>
          <w:sz w:val="24"/>
        </w:rPr>
        <w:t>it</w:t>
      </w:r>
      <w:r>
        <w:rPr>
          <w:b/>
          <w:i/>
          <w:spacing w:val="-3"/>
          <w:sz w:val="24"/>
        </w:rPr>
        <w:t xml:space="preserve"> </w:t>
      </w:r>
      <w:r>
        <w:rPr>
          <w:b/>
          <w:i/>
          <w:sz w:val="24"/>
        </w:rPr>
        <w:t>for</w:t>
      </w:r>
      <w:r>
        <w:rPr>
          <w:b/>
          <w:i/>
          <w:spacing w:val="-3"/>
          <w:sz w:val="24"/>
        </w:rPr>
        <w:t xml:space="preserve"> </w:t>
      </w:r>
      <w:r>
        <w:rPr>
          <w:b/>
          <w:i/>
          <w:sz w:val="24"/>
        </w:rPr>
        <w:t>purposes</w:t>
      </w:r>
      <w:r>
        <w:rPr>
          <w:b/>
          <w:i/>
          <w:spacing w:val="-3"/>
          <w:sz w:val="24"/>
        </w:rPr>
        <w:t xml:space="preserve"> </w:t>
      </w:r>
      <w:r>
        <w:rPr>
          <w:b/>
          <w:i/>
          <w:sz w:val="24"/>
        </w:rPr>
        <w:t>of</w:t>
      </w:r>
      <w:r>
        <w:rPr>
          <w:b/>
          <w:i/>
          <w:spacing w:val="-4"/>
          <w:sz w:val="24"/>
        </w:rPr>
        <w:t xml:space="preserve"> </w:t>
      </w:r>
      <w:r>
        <w:rPr>
          <w:b/>
          <w:i/>
          <w:sz w:val="24"/>
        </w:rPr>
        <w:t>the</w:t>
      </w:r>
      <w:r>
        <w:rPr>
          <w:b/>
          <w:i/>
          <w:spacing w:val="-4"/>
          <w:sz w:val="24"/>
        </w:rPr>
        <w:t xml:space="preserve"> </w:t>
      </w:r>
      <w:r>
        <w:rPr>
          <w:b/>
          <w:i/>
          <w:sz w:val="24"/>
        </w:rPr>
        <w:t>independent</w:t>
      </w:r>
      <w:r>
        <w:rPr>
          <w:b/>
          <w:i/>
          <w:spacing w:val="-3"/>
          <w:sz w:val="24"/>
        </w:rPr>
        <w:t xml:space="preserve"> </w:t>
      </w:r>
      <w:r>
        <w:rPr>
          <w:b/>
          <w:i/>
          <w:sz w:val="24"/>
        </w:rPr>
        <w:t>registered</w:t>
      </w:r>
      <w:r>
        <w:rPr>
          <w:b/>
          <w:i/>
          <w:spacing w:val="-3"/>
          <w:sz w:val="24"/>
        </w:rPr>
        <w:t xml:space="preserve"> </w:t>
      </w:r>
      <w:r>
        <w:rPr>
          <w:b/>
          <w:i/>
          <w:sz w:val="24"/>
        </w:rPr>
        <w:t>municipal</w:t>
      </w:r>
      <w:r>
        <w:rPr>
          <w:b/>
          <w:i/>
          <w:spacing w:val="-3"/>
          <w:sz w:val="24"/>
        </w:rPr>
        <w:t xml:space="preserve"> </w:t>
      </w:r>
      <w:r>
        <w:rPr>
          <w:b/>
          <w:i/>
          <w:sz w:val="24"/>
        </w:rPr>
        <w:t>advisor</w:t>
      </w:r>
      <w:r>
        <w:rPr>
          <w:b/>
          <w:i/>
          <w:spacing w:val="-3"/>
          <w:sz w:val="24"/>
        </w:rPr>
        <w:t xml:space="preserve"> </w:t>
      </w:r>
      <w:r>
        <w:rPr>
          <w:b/>
          <w:i/>
          <w:sz w:val="24"/>
        </w:rPr>
        <w:t>exemption</w:t>
      </w:r>
      <w:r>
        <w:rPr>
          <w:b/>
          <w:i/>
          <w:spacing w:val="-3"/>
          <w:sz w:val="24"/>
        </w:rPr>
        <w:t xml:space="preserve"> </w:t>
      </w:r>
      <w:r>
        <w:rPr>
          <w:b/>
          <w:i/>
          <w:sz w:val="24"/>
        </w:rPr>
        <w:t>to</w:t>
      </w:r>
      <w:r>
        <w:rPr>
          <w:b/>
          <w:i/>
          <w:spacing w:val="-3"/>
          <w:sz w:val="24"/>
        </w:rPr>
        <w:t xml:space="preserve"> </w:t>
      </w:r>
      <w:r>
        <w:rPr>
          <w:b/>
          <w:i/>
          <w:sz w:val="24"/>
        </w:rPr>
        <w:t>Rule 158</w:t>
      </w:r>
      <w:r>
        <w:rPr>
          <w:b/>
          <w:i/>
          <w:spacing w:val="-3"/>
          <w:sz w:val="24"/>
        </w:rPr>
        <w:t xml:space="preserve"> </w:t>
      </w:r>
      <w:r>
        <w:rPr>
          <w:b/>
          <w:i/>
          <w:sz w:val="24"/>
        </w:rPr>
        <w:t>of</w:t>
      </w:r>
      <w:r>
        <w:rPr>
          <w:b/>
          <w:i/>
          <w:spacing w:val="-4"/>
          <w:sz w:val="24"/>
        </w:rPr>
        <w:t xml:space="preserve"> </w:t>
      </w:r>
      <w:r>
        <w:rPr>
          <w:b/>
          <w:i/>
          <w:sz w:val="24"/>
        </w:rPr>
        <w:t>the</w:t>
      </w:r>
      <w:r>
        <w:rPr>
          <w:b/>
          <w:i/>
          <w:spacing w:val="-4"/>
          <w:sz w:val="24"/>
        </w:rPr>
        <w:t xml:space="preserve"> </w:t>
      </w:r>
      <w:r>
        <w:rPr>
          <w:b/>
          <w:i/>
          <w:sz w:val="24"/>
        </w:rPr>
        <w:t>Securities</w:t>
      </w:r>
      <w:r>
        <w:rPr>
          <w:b/>
          <w:i/>
          <w:spacing w:val="-3"/>
          <w:sz w:val="24"/>
        </w:rPr>
        <w:t xml:space="preserve"> </w:t>
      </w:r>
      <w:r>
        <w:rPr>
          <w:b/>
          <w:i/>
          <w:sz w:val="24"/>
        </w:rPr>
        <w:t>and</w:t>
      </w:r>
      <w:r>
        <w:rPr>
          <w:b/>
          <w:i/>
          <w:spacing w:val="-6"/>
          <w:sz w:val="24"/>
        </w:rPr>
        <w:t xml:space="preserve"> </w:t>
      </w:r>
      <w:r>
        <w:rPr>
          <w:b/>
          <w:i/>
          <w:sz w:val="24"/>
        </w:rPr>
        <w:t>Exchange</w:t>
      </w:r>
      <w:r>
        <w:rPr>
          <w:b/>
          <w:i/>
          <w:spacing w:val="-4"/>
          <w:sz w:val="24"/>
        </w:rPr>
        <w:t xml:space="preserve"> </w:t>
      </w:r>
      <w:r>
        <w:rPr>
          <w:b/>
          <w:i/>
          <w:sz w:val="24"/>
        </w:rPr>
        <w:t>Commission</w:t>
      </w:r>
      <w:r>
        <w:rPr>
          <w:b/>
          <w:i/>
          <w:spacing w:val="-5"/>
          <w:sz w:val="24"/>
        </w:rPr>
        <w:t xml:space="preserve"> </w:t>
      </w:r>
      <w:r>
        <w:rPr>
          <w:b/>
          <w:i/>
          <w:sz w:val="24"/>
        </w:rPr>
        <w:t>regarding</w:t>
      </w:r>
      <w:r>
        <w:rPr>
          <w:b/>
          <w:i/>
          <w:spacing w:val="-3"/>
          <w:sz w:val="24"/>
        </w:rPr>
        <w:t xml:space="preserve"> </w:t>
      </w:r>
      <w:r>
        <w:rPr>
          <w:b/>
          <w:i/>
          <w:sz w:val="24"/>
        </w:rPr>
        <w:t>Registration</w:t>
      </w:r>
      <w:r>
        <w:rPr>
          <w:b/>
          <w:i/>
          <w:spacing w:val="-3"/>
          <w:sz w:val="24"/>
        </w:rPr>
        <w:t xml:space="preserve"> </w:t>
      </w:r>
      <w:r>
        <w:rPr>
          <w:b/>
          <w:i/>
          <w:sz w:val="24"/>
        </w:rPr>
        <w:t>of</w:t>
      </w:r>
      <w:r>
        <w:rPr>
          <w:b/>
          <w:i/>
          <w:spacing w:val="-4"/>
          <w:sz w:val="24"/>
        </w:rPr>
        <w:t xml:space="preserve"> </w:t>
      </w:r>
      <w:r>
        <w:rPr>
          <w:b/>
          <w:i/>
          <w:sz w:val="24"/>
        </w:rPr>
        <w:t>Municipal Advisors (the SEC Municipal Advisor Rule).</w:t>
      </w:r>
    </w:p>
    <w:p w14:paraId="59DB3275" w14:textId="0A4A3720" w:rsidR="00271A4C" w:rsidRDefault="005E42A2">
      <w:pPr>
        <w:pStyle w:val="BodyText"/>
        <w:spacing w:before="266"/>
        <w:ind w:left="111" w:right="289"/>
      </w:pPr>
      <w:r>
        <w:t>SJCOG</w:t>
      </w:r>
      <w:r>
        <w:rPr>
          <w:spacing w:val="-5"/>
        </w:rPr>
        <w:t xml:space="preserve"> </w:t>
      </w:r>
      <w:r>
        <w:t>has</w:t>
      </w:r>
      <w:r>
        <w:rPr>
          <w:spacing w:val="-4"/>
        </w:rPr>
        <w:t xml:space="preserve"> </w:t>
      </w:r>
      <w:r>
        <w:t>retained</w:t>
      </w:r>
      <w:r>
        <w:rPr>
          <w:spacing w:val="-4"/>
        </w:rPr>
        <w:t xml:space="preserve"> </w:t>
      </w:r>
      <w:r>
        <w:t>an</w:t>
      </w:r>
      <w:r>
        <w:rPr>
          <w:spacing w:val="-4"/>
        </w:rPr>
        <w:t xml:space="preserve"> </w:t>
      </w:r>
      <w:r>
        <w:t>independent</w:t>
      </w:r>
      <w:r>
        <w:rPr>
          <w:spacing w:val="-4"/>
        </w:rPr>
        <w:t xml:space="preserve"> </w:t>
      </w:r>
      <w:r>
        <w:t>registered</w:t>
      </w:r>
      <w:r>
        <w:rPr>
          <w:spacing w:val="-4"/>
        </w:rPr>
        <w:t xml:space="preserve"> </w:t>
      </w:r>
      <w:r>
        <w:t>municipal</w:t>
      </w:r>
      <w:r>
        <w:rPr>
          <w:spacing w:val="-4"/>
        </w:rPr>
        <w:t xml:space="preserve"> </w:t>
      </w:r>
      <w:r>
        <w:t>advisor.</w:t>
      </w:r>
      <w:r>
        <w:rPr>
          <w:spacing w:val="-4"/>
        </w:rPr>
        <w:t xml:space="preserve"> </w:t>
      </w:r>
      <w:r>
        <w:t>SJCOG</w:t>
      </w:r>
      <w:r>
        <w:rPr>
          <w:spacing w:val="-5"/>
        </w:rPr>
        <w:t xml:space="preserve"> </w:t>
      </w:r>
      <w:r>
        <w:t>is</w:t>
      </w:r>
      <w:r>
        <w:rPr>
          <w:spacing w:val="-4"/>
        </w:rPr>
        <w:t xml:space="preserve"> </w:t>
      </w:r>
      <w:r>
        <w:t>represented by and will rely on its municipal advisor, PFM Financial Advisors LLC (primary</w:t>
      </w:r>
      <w:r>
        <w:rPr>
          <w:spacing w:val="40"/>
        </w:rPr>
        <w:t xml:space="preserve"> </w:t>
      </w:r>
      <w:r>
        <w:t xml:space="preserve">contact Peter Shellenberger; </w:t>
      </w:r>
      <w:hyperlink r:id="rId10">
        <w:r>
          <w:t>schellenbergerp@pfm.com;</w:t>
        </w:r>
      </w:hyperlink>
      <w:r>
        <w:t xml:space="preserve"> 415-982-5584) to provide advice on proposals from financial services firms concerning the issuance of all municipal securities and municipal financial products. This certificate may be relied upon until June 30, 202</w:t>
      </w:r>
      <w:r w:rsidR="004B3771">
        <w:t>5</w:t>
      </w:r>
      <w:r>
        <w:t xml:space="preserve"> and so long as this letter remains posted on the San Joaquin Council of Governments’ website.</w:t>
      </w:r>
    </w:p>
    <w:p w14:paraId="59DB3276" w14:textId="77777777" w:rsidR="00271A4C" w:rsidRDefault="00271A4C">
      <w:pPr>
        <w:pStyle w:val="BodyText"/>
      </w:pPr>
    </w:p>
    <w:p w14:paraId="59DB3277" w14:textId="229ACA52" w:rsidR="00271A4C" w:rsidRDefault="005E42A2">
      <w:pPr>
        <w:pStyle w:val="BodyText"/>
        <w:ind w:left="111" w:right="289"/>
      </w:pPr>
      <w:r>
        <w:t xml:space="preserve">Proposals and other communication may be addressed to SJCOG's </w:t>
      </w:r>
      <w:r w:rsidR="00386FD7">
        <w:t xml:space="preserve">Interim </w:t>
      </w:r>
      <w:r>
        <w:t xml:space="preserve">Deputy </w:t>
      </w:r>
      <w:r w:rsidR="004B3771">
        <w:t>Director of Finance &amp; Administration</w:t>
      </w:r>
      <w:r>
        <w:t xml:space="preserve"> </w:t>
      </w:r>
      <w:r w:rsidR="004B3771">
        <w:t>Grace Orosco</w:t>
      </w:r>
      <w:r>
        <w:t xml:space="preserve"> at 555 E. Weber Avenue, Stockton, CA</w:t>
      </w:r>
      <w:r>
        <w:rPr>
          <w:spacing w:val="40"/>
        </w:rPr>
        <w:t xml:space="preserve"> </w:t>
      </w:r>
      <w:r>
        <w:t xml:space="preserve">95202; </w:t>
      </w:r>
      <w:hyperlink r:id="rId11" w:history="1">
        <w:r w:rsidR="004B3771" w:rsidRPr="00BB1029">
          <w:rPr>
            <w:rStyle w:val="Hyperlink"/>
          </w:rPr>
          <w:t>orosco@sjcog.org;</w:t>
        </w:r>
      </w:hyperlink>
      <w:r>
        <w:t xml:space="preserve"> 209-235-0</w:t>
      </w:r>
      <w:r w:rsidR="004B3771">
        <w:t>454</w:t>
      </w:r>
      <w:r>
        <w:t>. If the written proposal received will be seriously considered</w:t>
      </w:r>
      <w:r>
        <w:rPr>
          <w:spacing w:val="-4"/>
        </w:rPr>
        <w:t xml:space="preserve"> </w:t>
      </w:r>
      <w:r>
        <w:t>by</w:t>
      </w:r>
      <w:r>
        <w:rPr>
          <w:spacing w:val="-4"/>
        </w:rPr>
        <w:t xml:space="preserve"> </w:t>
      </w:r>
      <w:r>
        <w:t>SJCOG,</w:t>
      </w:r>
      <w:r>
        <w:rPr>
          <w:spacing w:val="-4"/>
        </w:rPr>
        <w:t xml:space="preserve"> </w:t>
      </w:r>
      <w:r>
        <w:t>then</w:t>
      </w:r>
      <w:r>
        <w:rPr>
          <w:spacing w:val="-4"/>
        </w:rPr>
        <w:t xml:space="preserve"> </w:t>
      </w:r>
      <w:r>
        <w:t>SJCOG</w:t>
      </w:r>
      <w:r>
        <w:rPr>
          <w:spacing w:val="-5"/>
        </w:rPr>
        <w:t xml:space="preserve"> </w:t>
      </w:r>
      <w:r>
        <w:t>will</w:t>
      </w:r>
      <w:r>
        <w:rPr>
          <w:spacing w:val="-4"/>
        </w:rPr>
        <w:t xml:space="preserve"> </w:t>
      </w:r>
      <w:r>
        <w:t>share</w:t>
      </w:r>
      <w:r>
        <w:rPr>
          <w:spacing w:val="-5"/>
        </w:rPr>
        <w:t xml:space="preserve"> </w:t>
      </w:r>
      <w:r>
        <w:t>the</w:t>
      </w:r>
      <w:r>
        <w:rPr>
          <w:spacing w:val="-3"/>
        </w:rPr>
        <w:t xml:space="preserve"> </w:t>
      </w:r>
      <w:r>
        <w:t>document</w:t>
      </w:r>
      <w:r>
        <w:rPr>
          <w:spacing w:val="-4"/>
        </w:rPr>
        <w:t xml:space="preserve"> </w:t>
      </w:r>
      <w:r>
        <w:t>with</w:t>
      </w:r>
      <w:r>
        <w:rPr>
          <w:spacing w:val="-4"/>
        </w:rPr>
        <w:t xml:space="preserve"> </w:t>
      </w:r>
      <w:r>
        <w:t>its</w:t>
      </w:r>
      <w:r>
        <w:rPr>
          <w:spacing w:val="-4"/>
        </w:rPr>
        <w:t xml:space="preserve"> </w:t>
      </w:r>
      <w:r>
        <w:t>financial</w:t>
      </w:r>
      <w:r>
        <w:rPr>
          <w:spacing w:val="-4"/>
        </w:rPr>
        <w:t xml:space="preserve"> </w:t>
      </w:r>
      <w:r>
        <w:t xml:space="preserve">advisor. Please note that aside from regulatorily-mandated correspondence between an underwriter and municipal advisor, the underwriter should not speak directly with or send documents directly to the municipal advisor unless specifically directed to by </w:t>
      </w:r>
      <w:r>
        <w:rPr>
          <w:spacing w:val="-2"/>
        </w:rPr>
        <w:t>SJCOG.</w:t>
      </w:r>
    </w:p>
    <w:p w14:paraId="59DB3278" w14:textId="77777777" w:rsidR="00271A4C" w:rsidRDefault="00271A4C">
      <w:pPr>
        <w:pStyle w:val="BodyText"/>
      </w:pPr>
    </w:p>
    <w:p w14:paraId="59DB3279" w14:textId="4390C566" w:rsidR="00271A4C" w:rsidRDefault="005E42A2">
      <w:pPr>
        <w:pStyle w:val="BodyText"/>
        <w:ind w:left="111" w:right="289"/>
      </w:pPr>
      <w:r>
        <w:t>Questions or requests for additional information regarding SJCOG’S relationship with its</w:t>
      </w:r>
      <w:r>
        <w:rPr>
          <w:spacing w:val="-4"/>
        </w:rPr>
        <w:t xml:space="preserve"> </w:t>
      </w:r>
      <w:r>
        <w:t>municipal</w:t>
      </w:r>
      <w:r>
        <w:rPr>
          <w:spacing w:val="-4"/>
        </w:rPr>
        <w:t xml:space="preserve"> </w:t>
      </w:r>
      <w:r>
        <w:t>advisor</w:t>
      </w:r>
      <w:r>
        <w:rPr>
          <w:spacing w:val="-5"/>
        </w:rPr>
        <w:t xml:space="preserve"> </w:t>
      </w:r>
      <w:r>
        <w:t>should</w:t>
      </w:r>
      <w:r>
        <w:rPr>
          <w:spacing w:val="-4"/>
        </w:rPr>
        <w:t xml:space="preserve"> </w:t>
      </w:r>
      <w:r>
        <w:t>be</w:t>
      </w:r>
      <w:r>
        <w:rPr>
          <w:spacing w:val="-5"/>
        </w:rPr>
        <w:t xml:space="preserve"> </w:t>
      </w:r>
      <w:r>
        <w:t>addressed</w:t>
      </w:r>
      <w:r>
        <w:rPr>
          <w:spacing w:val="-4"/>
        </w:rPr>
        <w:t xml:space="preserve"> </w:t>
      </w:r>
      <w:r>
        <w:t>to</w:t>
      </w:r>
      <w:r>
        <w:rPr>
          <w:spacing w:val="-4"/>
        </w:rPr>
        <w:t xml:space="preserve"> </w:t>
      </w:r>
      <w:r>
        <w:t>SJCOG's</w:t>
      </w:r>
      <w:r>
        <w:rPr>
          <w:spacing w:val="-4"/>
        </w:rPr>
        <w:t xml:space="preserve"> </w:t>
      </w:r>
      <w:r w:rsidR="00386FD7">
        <w:rPr>
          <w:spacing w:val="-4"/>
        </w:rPr>
        <w:t xml:space="preserve">Interim </w:t>
      </w:r>
      <w:r>
        <w:t>Deputy</w:t>
      </w:r>
      <w:r>
        <w:rPr>
          <w:spacing w:val="-4"/>
        </w:rPr>
        <w:t xml:space="preserve"> </w:t>
      </w:r>
      <w:r>
        <w:t>Director of Finance &amp; Administration.</w:t>
      </w:r>
    </w:p>
    <w:p w14:paraId="59DB327A" w14:textId="77777777" w:rsidR="00271A4C" w:rsidRDefault="005E42A2">
      <w:pPr>
        <w:pStyle w:val="BodyText"/>
        <w:spacing w:before="274"/>
        <w:ind w:left="111"/>
      </w:pPr>
      <w:r>
        <w:rPr>
          <w:spacing w:val="-2"/>
        </w:rPr>
        <w:t>Sincerely,</w:t>
      </w:r>
    </w:p>
    <w:p w14:paraId="59DB327B" w14:textId="749219D3" w:rsidR="00271A4C" w:rsidRDefault="00271A4C">
      <w:pPr>
        <w:pStyle w:val="BodyText"/>
        <w:ind w:left="111"/>
        <w:rPr>
          <w:sz w:val="20"/>
        </w:rPr>
      </w:pPr>
    </w:p>
    <w:p w14:paraId="1838AD47" w14:textId="77777777" w:rsidR="00673A1A" w:rsidRDefault="00673A1A" w:rsidP="004B3771">
      <w:pPr>
        <w:pStyle w:val="BodyText"/>
        <w:spacing w:before="273"/>
        <w:ind w:left="111"/>
      </w:pPr>
    </w:p>
    <w:p w14:paraId="59DB327C" w14:textId="272D8449" w:rsidR="00271A4C" w:rsidRDefault="004B3771" w:rsidP="004B3771">
      <w:pPr>
        <w:pStyle w:val="BodyText"/>
        <w:spacing w:before="273"/>
        <w:ind w:left="111"/>
      </w:pPr>
      <w:r>
        <w:t>GRACE OROSCO</w:t>
      </w:r>
    </w:p>
    <w:p w14:paraId="59DB327D" w14:textId="54E72680" w:rsidR="00271A4C" w:rsidRDefault="00386FD7">
      <w:pPr>
        <w:pStyle w:val="BodyText"/>
        <w:ind w:left="111"/>
      </w:pPr>
      <w:r>
        <w:t xml:space="preserve">Interim </w:t>
      </w:r>
      <w:r w:rsidR="005E42A2">
        <w:t>Deputy</w:t>
      </w:r>
      <w:r w:rsidR="005E42A2">
        <w:rPr>
          <w:spacing w:val="-3"/>
        </w:rPr>
        <w:t xml:space="preserve"> </w:t>
      </w:r>
      <w:r w:rsidR="004B3771">
        <w:t>Director of Finance &amp; Administration</w:t>
      </w:r>
    </w:p>
    <w:sectPr w:rsidR="00271A4C">
      <w:type w:val="continuous"/>
      <w:pgSz w:w="12240" w:h="15840"/>
      <w:pgMar w:top="840" w:right="840" w:bottom="280" w:left="640" w:header="720" w:footer="720" w:gutter="0"/>
      <w:cols w:num="2" w:space="720" w:equalWidth="0">
        <w:col w:w="1536" w:space="331"/>
        <w:col w:w="889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4C"/>
    <w:rsid w:val="00271A4C"/>
    <w:rsid w:val="00344C5F"/>
    <w:rsid w:val="00386FD7"/>
    <w:rsid w:val="004B3771"/>
    <w:rsid w:val="005E42A2"/>
    <w:rsid w:val="00673A1A"/>
    <w:rsid w:val="00E3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325C"/>
  <w15:docId w15:val="{3300A9B6-89F8-43F9-8AFC-1D0224DD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421" w:right="1651" w:hanging="46"/>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B3771"/>
    <w:rPr>
      <w:color w:val="0000FF" w:themeColor="hyperlink"/>
      <w:u w:val="single"/>
    </w:rPr>
  </w:style>
  <w:style w:type="character" w:styleId="UnresolvedMention">
    <w:name w:val="Unresolved Mention"/>
    <w:basedOn w:val="DefaultParagraphFont"/>
    <w:uiPriority w:val="99"/>
    <w:semiHidden/>
    <w:unhideWhenUsed/>
    <w:rsid w:val="004B3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osco@sjcog.org;" TargetMode="External"/><Relationship Id="rId5" Type="http://schemas.openxmlformats.org/officeDocument/2006/relationships/styles" Target="styles.xml"/><Relationship Id="rId10" Type="http://schemas.openxmlformats.org/officeDocument/2006/relationships/hyperlink" Target="mailto:schellenbergerp@pfm.com" TargetMode="External"/><Relationship Id="rId4" Type="http://schemas.openxmlformats.org/officeDocument/2006/relationships/numbering" Target="numbering.xml"/><Relationship Id="rId9" Type="http://schemas.openxmlformats.org/officeDocument/2006/relationships/hyperlink" Target="http://www.sj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a3592e-e359-4ae8-862e-cbd124409452">
      <Terms xmlns="http://schemas.microsoft.com/office/infopath/2007/PartnerControls"/>
    </lcf76f155ced4ddcb4097134ff3c332f>
    <TaxCatchAll xmlns="e485f9e0-35b0-4cb7-b0fb-8e5fadebea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18836CFCE534EA39A771E4F457262" ma:contentTypeVersion="15" ma:contentTypeDescription="Create a new document." ma:contentTypeScope="" ma:versionID="badb41a92c28f3c02f67186dcc996a80">
  <xsd:schema xmlns:xsd="http://www.w3.org/2001/XMLSchema" xmlns:xs="http://www.w3.org/2001/XMLSchema" xmlns:p="http://schemas.microsoft.com/office/2006/metadata/properties" xmlns:ns2="9ca3592e-e359-4ae8-862e-cbd124409452" xmlns:ns3="e485f9e0-35b0-4cb7-b0fb-8e5fadebea6d" targetNamespace="http://schemas.microsoft.com/office/2006/metadata/properties" ma:root="true" ma:fieldsID="54304b1ca0cc6098665591a49ce17a9b" ns2:_="" ns3:_="">
    <xsd:import namespace="9ca3592e-e359-4ae8-862e-cbd124409452"/>
    <xsd:import namespace="e485f9e0-35b0-4cb7-b0fb-8e5fadebea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3592e-e359-4ae8-862e-cbd124409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c9b4c6-8330-45c5-b325-99c1729274c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5f9e0-35b0-4cb7-b0fb-8e5fadebea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ab7584-79a2-4b77-80c1-5c57af8304a6}" ma:internalName="TaxCatchAll" ma:showField="CatchAllData" ma:web="e485f9e0-35b0-4cb7-b0fb-8e5fadebea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CA23C-C353-4F7F-89B7-332C85B0DB2E}">
  <ds:schemaRefs>
    <ds:schemaRef ds:uri="http://schemas.microsoft.com/office/2006/metadata/properties"/>
    <ds:schemaRef ds:uri="http://schemas.microsoft.com/office/infopath/2007/PartnerControls"/>
    <ds:schemaRef ds:uri="9ca3592e-e359-4ae8-862e-cbd124409452"/>
    <ds:schemaRef ds:uri="e485f9e0-35b0-4cb7-b0fb-8e5fadebea6d"/>
  </ds:schemaRefs>
</ds:datastoreItem>
</file>

<file path=customXml/itemProps2.xml><?xml version="1.0" encoding="utf-8"?>
<ds:datastoreItem xmlns:ds="http://schemas.openxmlformats.org/officeDocument/2006/customXml" ds:itemID="{DE55689D-6A21-41D5-857D-908F6BFF5EB1}">
  <ds:schemaRefs>
    <ds:schemaRef ds:uri="http://schemas.microsoft.com/sharepoint/v3/contenttype/forms"/>
  </ds:schemaRefs>
</ds:datastoreItem>
</file>

<file path=customXml/itemProps3.xml><?xml version="1.0" encoding="utf-8"?>
<ds:datastoreItem xmlns:ds="http://schemas.openxmlformats.org/officeDocument/2006/customXml" ds:itemID="{D8A0E775-B893-466B-885C-CD557CCFD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3592e-e359-4ae8-862e-cbd124409452"/>
    <ds:schemaRef ds:uri="e485f9e0-35b0-4cb7-b0fb-8e5fadebe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dc:creator>
  <cp:lastModifiedBy>Lynnetta Castle</cp:lastModifiedBy>
  <cp:revision>6</cp:revision>
  <dcterms:created xsi:type="dcterms:W3CDTF">2024-08-14T15:07:00Z</dcterms:created>
  <dcterms:modified xsi:type="dcterms:W3CDTF">2024-08-14T15:20:00Z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Acrobat PDFMaker 11 for Word</vt:lpwstr>
  </property>
  <property fmtid="{D5CDD505-2E9C-101B-9397-08002B2CF9AE}" pid="4" name="LastSaved">
    <vt:filetime>2024-08-14T00:00:00Z</vt:filetime>
  </property>
  <property fmtid="{D5CDD505-2E9C-101B-9397-08002B2CF9AE}" pid="5" name="Producer">
    <vt:lpwstr>Adobe PDF Library 11.0</vt:lpwstr>
  </property>
  <property fmtid="{D5CDD505-2E9C-101B-9397-08002B2CF9AE}" pid="6" name="SourceModified">
    <vt:lpwstr/>
  </property>
  <property fmtid="{D5CDD505-2E9C-101B-9397-08002B2CF9AE}" pid="7" name="ContentTypeId">
    <vt:lpwstr>0x0101007AC18836CFCE534EA39A771E4F457262</vt:lpwstr>
  </property>
  <property fmtid="{D5CDD505-2E9C-101B-9397-08002B2CF9AE}" pid="8" name="MediaServiceImageTags">
    <vt:lpwstr/>
  </property>
</Properties>
</file>